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B4" w:rsidRPr="00792749" w:rsidRDefault="001A3A44" w:rsidP="00792749">
      <w:pPr>
        <w:widowControl/>
        <w:shd w:val="clear" w:color="auto" w:fill="FFFFFF"/>
        <w:tabs>
          <w:tab w:val="left" w:pos="9355"/>
        </w:tabs>
        <w:autoSpaceDE/>
        <w:autoSpaceDN/>
        <w:adjustRightInd/>
        <w:ind w:right="-1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Порядок </w:t>
      </w:r>
      <w:r w:rsidR="00B312B4"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проведення атестації тренері</w:t>
      </w:r>
      <w:proofErr w:type="gramStart"/>
      <w:r w:rsidR="00B312B4"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  <w:r w:rsidR="00B312B4"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 (тренерів-викладачів)</w:t>
      </w:r>
    </w:p>
    <w:p w:rsidR="001A3A44" w:rsidRPr="00792749" w:rsidRDefault="001A3A44" w:rsidP="00792749">
      <w:pPr>
        <w:widowControl/>
        <w:shd w:val="clear" w:color="auto" w:fill="FFFFFF"/>
        <w:autoSpaceDE/>
        <w:autoSpaceDN/>
        <w:adjustRightInd/>
        <w:ind w:left="346" w:right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left="346" w:right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0" w:name="n16"/>
      <w:bookmarkEnd w:id="0"/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I. Загальні положення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" w:name="n17"/>
      <w:bookmarkEnd w:id="1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1. Цей Порядок визначає механізм проведення атестації тренерів (тренерів-викладачів) закладів фізичної культури і спорту 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з чирлідингу – членів ФЧЧУ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для визначення їх професійної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ідготовленості, присвоєння відповідної кваліфікаційної категорії на основі результативних показників спортсменів, підготовку яких вони здійснювали.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2" w:name="n18"/>
      <w:bookmarkEnd w:id="2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2. Атестація тренерів (тренерів-викладачів) - це система заходів, спрямованих на всебічне комплексне оцінювання ефективності їх діяльності, за якою визначаються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івень їх кваліфікації, відповідність займаній посаді у 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клубі, школі,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штатній команді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>,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збірн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>ій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команд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>і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України та присвоюється кваліфікаційна категорія тренерам (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тренерам-викладачам) закл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>адів фізичної культури і спорту з чирлідингу.</w:t>
      </w:r>
      <w:r w:rsid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gramEnd"/>
      <w:r w:rsidR="00792749">
        <w:rPr>
          <w:rFonts w:eastAsia="Times New Roman" w:cs="Times New Roman"/>
          <w:color w:val="000000"/>
          <w:sz w:val="28"/>
          <w:szCs w:val="28"/>
          <w:lang w:val="ru-RU"/>
        </w:rPr>
        <w:t>Атестація спрямована на стимулювання професійного розвитку тренерських кадрів ФЧЧУ.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3" w:name="n19"/>
      <w:bookmarkEnd w:id="3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3. Обов’язковій атестації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ідлягають тренери і тренери-викладачі, які працюють в закладах фізичної культури і спорту 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з чирлідингу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незалежно від підпорядкування та форми власності.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4" w:name="n20"/>
      <w:bookmarkEnd w:id="4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4. Атестації не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ідлягають тренери (тренери-викл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>адачі), які працюють менше ніж 1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р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>ік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5" w:name="n21"/>
      <w:bookmarkEnd w:id="5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5. Атестація проводиться один раз на 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>два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роки за результативними показниками роботи тренерів (тренерів-викладачів) за останні 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>два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роки</w:t>
      </w:r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та результатів загальної атестації </w:t>
      </w:r>
      <w:proofErr w:type="gramStart"/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="001A3A44" w:rsidRPr="00792749">
        <w:rPr>
          <w:rFonts w:eastAsia="Times New Roman" w:cs="Times New Roman"/>
          <w:color w:val="000000"/>
          <w:sz w:val="28"/>
          <w:szCs w:val="28"/>
          <w:lang w:val="ru-RU"/>
        </w:rPr>
        <w:t>івня підготовленості спортсменів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B312B4" w:rsidRPr="00792749" w:rsidRDefault="001A3A4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6" w:name="n22"/>
      <w:bookmarkEnd w:id="6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6. 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У разі покращення результативних показників спортсменів, </w:t>
      </w:r>
      <w:proofErr w:type="gramStart"/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ідготовку яких здійснює тренер (тренер-викладач), він має право на проходження позачергової атестації.</w:t>
      </w:r>
    </w:p>
    <w:p w:rsidR="00085D97" w:rsidRPr="00792749" w:rsidRDefault="001A3A4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7. За результатами атестації тренер</w:t>
      </w:r>
      <w:r w:rsidR="00085D97" w:rsidRPr="00792749">
        <w:rPr>
          <w:rFonts w:eastAsia="Times New Roman" w:cs="Times New Roman"/>
          <w:color w:val="000000"/>
          <w:sz w:val="28"/>
          <w:szCs w:val="28"/>
          <w:lang w:val="ru-RU"/>
        </w:rPr>
        <w:t>а і присвоєнної йому кваліфікаційної категорії визначається:</w:t>
      </w:r>
    </w:p>
    <w:p w:rsidR="001A3A44" w:rsidRPr="00792749" w:rsidRDefault="00085D97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- право здійснювати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ідготовку спортсменів до змагань;</w:t>
      </w:r>
    </w:p>
    <w:p w:rsidR="00085D97" w:rsidRPr="00792749" w:rsidRDefault="00085D97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- розмі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фінансової винагороди за підготовку учасників змагань;</w:t>
      </w:r>
    </w:p>
    <w:p w:rsidR="00085D97" w:rsidRPr="00792749" w:rsidRDefault="00085D97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- право займати відповідні посади у збірних командах.</w:t>
      </w:r>
    </w:p>
    <w:p w:rsidR="001A3A44" w:rsidRPr="00792749" w:rsidRDefault="001A3A4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left="346" w:right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7" w:name="n23"/>
      <w:bookmarkEnd w:id="7"/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II. Документи, що подаються на розгляд атестаційної комі</w:t>
      </w:r>
      <w:proofErr w:type="gramStart"/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End"/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ії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8" w:name="n24"/>
      <w:bookmarkEnd w:id="8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1. До атестаційних комісій, що визначені, подаються такі документи: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9" w:name="n25"/>
      <w:bookmarkEnd w:id="9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заява про проходження атестації із зазначенням письмової згоди тренера (тренера-викладача) на обробку його персональних даних;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0" w:name="n26"/>
      <w:bookmarkEnd w:id="10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копія першої сторінки паспорта громадянина України;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1" w:name="n27"/>
      <w:bookmarkEnd w:id="11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копія трудової книжки;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2" w:name="n28"/>
      <w:bookmarkEnd w:id="12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копія диплома;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3" w:name="n29"/>
      <w:bookmarkEnd w:id="13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копії посвідчень про почесні та/або спортивні звання (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разі наявності);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4" w:name="n30"/>
      <w:bookmarkEnd w:id="14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копія документа про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ідвищення кваліфікації для тренерів (тренерів-викладачів), які працюють більше п’яти років після закінчення вищого навчального закладу;</w:t>
      </w:r>
    </w:p>
    <w:p w:rsidR="00085D97" w:rsidRPr="00792749" w:rsidRDefault="00085D97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копія документа про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ідвищення кваліфікації для тренерів (тренерів-викладачів), в системі підвищення кваліфікації тренерів та суддів ФЧЧУ;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5" w:name="n139"/>
      <w:bookmarkStart w:id="16" w:name="n31"/>
      <w:bookmarkStart w:id="17" w:name="n32"/>
      <w:bookmarkEnd w:id="15"/>
      <w:bookmarkEnd w:id="16"/>
      <w:bookmarkEnd w:id="17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lastRenderedPageBreak/>
        <w:t xml:space="preserve">відомості про результативні показники спортсменів,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ідготовку яких здійснював тренер (тренер-викладач) останні </w:t>
      </w:r>
      <w:r w:rsidR="00085D97" w:rsidRPr="00792749">
        <w:rPr>
          <w:rFonts w:eastAsia="Times New Roman" w:cs="Times New Roman"/>
          <w:color w:val="000000"/>
          <w:sz w:val="28"/>
          <w:szCs w:val="28"/>
          <w:lang w:val="ru-RU"/>
        </w:rPr>
        <w:t>2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ро</w:t>
      </w:r>
      <w:r w:rsidR="00085D97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ки, та виписка рішення Президії ФЧЧУ про членство спортсменів,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наказу </w:t>
      </w:r>
      <w:r w:rsidR="00745529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організації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про зарахування цих спортсменів до складу навчальних груп тренера (тренера-викладача), копії наказів та офіційних листів-направлень вихованців для підвищення спортивної майстерності до основного складу </w:t>
      </w:r>
      <w:r w:rsidR="00745529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збірних команд,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центрів олімпійської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ідготовки, шкіл вищої спортивної майстерності, спеціалізованих навчальних закладів спортивного профілю та копії підтвердних документів щодо зарахування спортсменів до цих закладів;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8" w:name="n140"/>
      <w:bookmarkStart w:id="19" w:name="n33"/>
      <w:bookmarkEnd w:id="18"/>
      <w:bookmarkEnd w:id="19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характеристика тренера (тренера-викладачі</w:t>
      </w:r>
      <w:r w:rsidR="00745529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в) за </w:t>
      </w:r>
      <w:proofErr w:type="gramStart"/>
      <w:r w:rsidR="00745529"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745529" w:rsidRPr="00792749">
        <w:rPr>
          <w:rFonts w:eastAsia="Times New Roman" w:cs="Times New Roman"/>
          <w:color w:val="000000"/>
          <w:sz w:val="28"/>
          <w:szCs w:val="28"/>
          <w:lang w:val="ru-RU"/>
        </w:rPr>
        <w:t>ідписом керівника місцевого осередку ФЧЧУ (відокремленого підрозділу)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sz w:val="28"/>
          <w:szCs w:val="28"/>
        </w:rPr>
      </w:pPr>
      <w:bookmarkStart w:id="20" w:name="n34"/>
      <w:bookmarkStart w:id="21" w:name="n35"/>
      <w:bookmarkEnd w:id="20"/>
      <w:bookmarkEnd w:id="21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2. Обробка персональних даних тренерів (тренерів-викладачів) здійснюється атестаційн</w:t>
      </w:r>
      <w:r w:rsidR="00745529" w:rsidRPr="00792749">
        <w:rPr>
          <w:rFonts w:eastAsia="Times New Roman" w:cs="Times New Roman"/>
          <w:color w:val="000000"/>
          <w:sz w:val="28"/>
          <w:szCs w:val="28"/>
          <w:lang w:val="ru-RU"/>
        </w:rPr>
        <w:t>ою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комісі</w:t>
      </w:r>
      <w:r w:rsidR="00745529" w:rsidRPr="00792749">
        <w:rPr>
          <w:rFonts w:eastAsia="Times New Roman" w:cs="Times New Roman"/>
          <w:color w:val="000000"/>
          <w:sz w:val="28"/>
          <w:szCs w:val="28"/>
          <w:lang w:val="ru-RU"/>
        </w:rPr>
        <w:t>єю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відповідно </w:t>
      </w:r>
      <w:proofErr w:type="gramStart"/>
      <w:r w:rsidRPr="00792749">
        <w:rPr>
          <w:sz w:val="28"/>
          <w:szCs w:val="28"/>
        </w:rPr>
        <w:t>до</w:t>
      </w:r>
      <w:proofErr w:type="gramEnd"/>
      <w:r w:rsidRPr="00792749">
        <w:rPr>
          <w:sz w:val="28"/>
          <w:szCs w:val="28"/>
        </w:rPr>
        <w:t> </w:t>
      </w:r>
      <w:hyperlink r:id="rId4" w:tgtFrame="_blank" w:history="1">
        <w:r w:rsidRPr="00792749">
          <w:rPr>
            <w:rStyle w:val="a7"/>
            <w:color w:val="auto"/>
            <w:sz w:val="28"/>
            <w:szCs w:val="28"/>
            <w:u w:val="none"/>
          </w:rPr>
          <w:t>Закону України "Про захист персональних даних"</w:t>
        </w:r>
      </w:hyperlink>
      <w:r w:rsidRPr="00792749">
        <w:rPr>
          <w:sz w:val="28"/>
          <w:szCs w:val="28"/>
        </w:rPr>
        <w:t>.</w:t>
      </w:r>
    </w:p>
    <w:p w:rsidR="00745529" w:rsidRPr="00792749" w:rsidRDefault="00745529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sz w:val="28"/>
          <w:szCs w:val="28"/>
        </w:rPr>
      </w:pP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left="346" w:right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22" w:name="n36"/>
      <w:bookmarkEnd w:id="22"/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III. Загальні вимоги до атестації тренері</w:t>
      </w:r>
      <w:proofErr w:type="gramStart"/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 (тренерів-викладачів)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23" w:name="n37"/>
      <w:bookmarkEnd w:id="23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1. Загальною вимогою до атестації тренерів на визначення знань і професійних навиків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ідповідно до займаної посади є наявність вищої освіти за спеціальністю "Фізична культура і спорт" та освітнім ступенем "бакалавр" чи "магістр"</w:t>
      </w:r>
      <w:r w:rsidR="00745529" w:rsidRPr="00792749">
        <w:rPr>
          <w:rFonts w:eastAsia="Times New Roman" w:cs="Times New Roman"/>
          <w:color w:val="000000"/>
          <w:sz w:val="28"/>
          <w:szCs w:val="28"/>
          <w:lang w:val="ru-RU"/>
        </w:rPr>
        <w:t>, або повний цикл курс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>ів</w:t>
      </w:r>
      <w:r w:rsidR="00745529" w:rsidRPr="00792749">
        <w:rPr>
          <w:rFonts w:eastAsia="Times New Roman" w:cs="Times New Roman"/>
          <w:color w:val="000000"/>
          <w:sz w:val="28"/>
          <w:szCs w:val="28"/>
          <w:lang w:val="ru-RU"/>
        </w:rPr>
        <w:t>, акредитован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>их</w:t>
      </w:r>
      <w:r w:rsidR="00745529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ФЧЧУ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>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24" w:name="n142"/>
      <w:bookmarkStart w:id="25" w:name="n38"/>
      <w:bookmarkEnd w:id="24"/>
      <w:bookmarkEnd w:id="25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2. Загальними вимогами до атестації тренерів (тренерів-викладачів) закладів фізичної культури і спорту </w:t>
      </w:r>
      <w:r w:rsidR="00745529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з чирлідингу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на визначення їх кваліфікаційного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івня для присвоєння кваліфікаційних категорій є: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26" w:name="n39"/>
      <w:bookmarkEnd w:id="26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наявність вищої освіти за спеціальністю "Фізична культура і спорт" та освітнім ступенем "бакалавр" чи "магі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стр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"</w:t>
      </w:r>
      <w:r w:rsidR="00817B77">
        <w:rPr>
          <w:rFonts w:eastAsia="Times New Roman" w:cs="Times New Roman"/>
          <w:color w:val="000000"/>
          <w:sz w:val="28"/>
          <w:szCs w:val="28"/>
          <w:lang w:val="ru-RU"/>
        </w:rPr>
        <w:t xml:space="preserve"> (за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наявності)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;</w:t>
      </w:r>
    </w:p>
    <w:p w:rsidR="00F86761" w:rsidRPr="00792749" w:rsidRDefault="00817B77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повного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цикл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у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курсів, акредитованих ФЧЧУ; </w:t>
      </w:r>
    </w:p>
    <w:p w:rsidR="00B312B4" w:rsidRPr="00792749" w:rsidRDefault="00B312B4" w:rsidP="00792749">
      <w:pPr>
        <w:ind w:firstLine="346"/>
        <w:jc w:val="both"/>
        <w:rPr>
          <w:sz w:val="28"/>
          <w:szCs w:val="28"/>
        </w:rPr>
      </w:pPr>
      <w:bookmarkStart w:id="27" w:name="n144"/>
      <w:bookmarkStart w:id="28" w:name="n40"/>
      <w:bookmarkEnd w:id="27"/>
      <w:bookmarkEnd w:id="28"/>
      <w:r w:rsidRPr="00792749">
        <w:rPr>
          <w:sz w:val="28"/>
          <w:szCs w:val="28"/>
        </w:rPr>
        <w:t>виконання </w:t>
      </w:r>
      <w:hyperlink r:id="rId5" w:anchor="n93" w:history="1">
        <w:r w:rsidRPr="00792749">
          <w:rPr>
            <w:rStyle w:val="a7"/>
            <w:color w:val="auto"/>
            <w:sz w:val="28"/>
            <w:szCs w:val="28"/>
            <w:u w:val="none"/>
          </w:rPr>
          <w:t>результативних показників роботи тренерів (тренерів-викладачів), які враховуються при присвоєнні кваліфікаційних категорій</w:t>
        </w:r>
      </w:hyperlink>
      <w:r w:rsidRPr="00792749">
        <w:rPr>
          <w:sz w:val="28"/>
          <w:szCs w:val="28"/>
        </w:rPr>
        <w:t>, згідн</w:t>
      </w:r>
      <w:r w:rsidR="00F86761" w:rsidRPr="00792749">
        <w:rPr>
          <w:sz w:val="28"/>
          <w:szCs w:val="28"/>
        </w:rPr>
        <w:t>о з додатком 1 до цього Порядку;</w:t>
      </w:r>
    </w:p>
    <w:p w:rsidR="00F86761" w:rsidRPr="00792749" w:rsidRDefault="00F86761" w:rsidP="00792749">
      <w:pPr>
        <w:ind w:firstLine="346"/>
        <w:jc w:val="both"/>
        <w:rPr>
          <w:sz w:val="28"/>
          <w:szCs w:val="28"/>
        </w:rPr>
      </w:pPr>
      <w:r w:rsidRPr="00792749">
        <w:rPr>
          <w:sz w:val="28"/>
          <w:szCs w:val="28"/>
        </w:rPr>
        <w:t>виконання результативних показників атестації спортсменів тренерів (тренерів-викладачів) та їх динаміки.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bookmarkStart w:id="29" w:name="n41"/>
      <w:bookmarkEnd w:id="29"/>
      <w:r w:rsidRPr="00792749">
        <w:rPr>
          <w:rFonts w:eastAsia="Times New Roman" w:cs="Times New Roman"/>
          <w:color w:val="000000"/>
          <w:sz w:val="28"/>
          <w:szCs w:val="28"/>
        </w:rPr>
        <w:t xml:space="preserve">3. Тренерам (тренерам-викладачам), які працюють в закладах фізичної культури і спорту </w:t>
      </w:r>
      <w:r w:rsidR="00F86761" w:rsidRPr="00792749">
        <w:rPr>
          <w:rFonts w:eastAsia="Times New Roman" w:cs="Times New Roman"/>
          <w:color w:val="000000"/>
          <w:sz w:val="28"/>
          <w:szCs w:val="28"/>
        </w:rPr>
        <w:t xml:space="preserve">з чирлдіингу </w:t>
      </w:r>
      <w:r w:rsidRPr="00792749">
        <w:rPr>
          <w:rFonts w:eastAsia="Times New Roman" w:cs="Times New Roman"/>
          <w:color w:val="000000"/>
          <w:sz w:val="28"/>
          <w:szCs w:val="28"/>
        </w:rPr>
        <w:t>та пройшли атестацію, присвоюються такі кваліфікаційні категорії з виду спорту:</w:t>
      </w:r>
    </w:p>
    <w:p w:rsidR="00B312B4" w:rsidRPr="00792749" w:rsidRDefault="00E5170D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30" w:name="n42"/>
      <w:bookmarkEnd w:id="30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вища категорія;</w:t>
      </w:r>
    </w:p>
    <w:p w:rsidR="00B312B4" w:rsidRPr="00792749" w:rsidRDefault="00E5170D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31" w:name="n43"/>
      <w:bookmarkEnd w:id="31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перша категорія;</w:t>
      </w:r>
    </w:p>
    <w:p w:rsidR="00B312B4" w:rsidRPr="00792749" w:rsidRDefault="00E5170D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32" w:name="n44"/>
      <w:bookmarkEnd w:id="32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>друга категорія;</w:t>
      </w:r>
    </w:p>
    <w:p w:rsidR="00F86761" w:rsidRPr="00792749" w:rsidRDefault="00E5170D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>ассистент тренера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33" w:name="n45"/>
      <w:bookmarkEnd w:id="33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4. Тренерам (тренерам-викладачам), які не мають спеціальної освіти і прийняті на роботу в заклади фізичної культури і спорту 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з чирлідингу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та володіють достатнім практичним досвідом роботи, якісно і в повному обсязі виконують свої посадові обов’язки, за умови проходження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ідвищення кваліфікації та виконання результативних показників роботи також присвоюються кваліфікаційні категорії.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34" w:name="n46"/>
      <w:bookmarkEnd w:id="34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lastRenderedPageBreak/>
        <w:t>5. Випускникам акредитованих вищих навчальних закладів фізичної культури і спорту, факультетів фізичного виховання і спорту інших вищих навчальних закладів, які здобули вищу освіту за спеціальністю "Фізична культура і спорт" та освітнім ступенем "бакалавр" чи "магі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стр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"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з чирлідингу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, за наявності диплома при прийомі вперше на посаду тренера-викладача присвоюється друга кваліфікаційна категорія, але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не б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ільше ніж на 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>2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роки.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35" w:name="n145"/>
      <w:bookmarkStart w:id="36" w:name="n47"/>
      <w:bookmarkEnd w:id="35"/>
      <w:bookmarkEnd w:id="36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6. За особами, які перебувають у відпустці у зв’язку з вагітністю, пологами і догляду за дитиною, зберігається присвоєна кваліфікаційна категорія до наступної атестації. Час перебування у зазначених відпустках не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включається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до міжатестаційного періоду.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37" w:name="n48"/>
      <w:bookmarkEnd w:id="37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7. Для тренерів (тренерів-викладачів), які тимчасово працювали за фахом за кордоном, на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ідставі рішення атестаційної комісії, яка розглядає документи тренера (тренера-викладача), відповідним наказом може бути підтверджено рішення попередньої атестаційної комісії про присвоєння кваліфікаційної категорії, але не більше ніж на 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>1 рі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к.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38" w:name="n49"/>
      <w:bookmarkEnd w:id="38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8. У разі невиконання результативних показників на відповідну категорію, передбачених у </w:t>
      </w:r>
      <w:hyperlink r:id="rId6" w:anchor="n93" w:history="1">
        <w:r w:rsidRPr="00792749">
          <w:rPr>
            <w:rStyle w:val="a7"/>
            <w:color w:val="auto"/>
            <w:sz w:val="28"/>
            <w:szCs w:val="28"/>
            <w:u w:val="none"/>
          </w:rPr>
          <w:t>додатку 1</w:t>
        </w:r>
      </w:hyperlink>
      <w:r w:rsidRPr="00792749">
        <w:rPr>
          <w:sz w:val="28"/>
          <w:szCs w:val="28"/>
        </w:rPr>
        <w:t> 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до цього Порядку, тренерам (тренерам-викладачам), які мають звання "Заслужений працівник фізичної культури і спорту" та/або спортивне звання "Заслужений тренер", може бути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присво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єно першу або вищу кваліфікаційну категорію з виду спорту,  на 2 роки за умови виконання результативних показників на один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івень нижче, але не більше ніж один раз.</w:t>
      </w:r>
    </w:p>
    <w:p w:rsidR="00B312B4" w:rsidRPr="00792749" w:rsidRDefault="00F86761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39" w:name="n146"/>
      <w:bookmarkStart w:id="40" w:name="n50"/>
      <w:bookmarkStart w:id="41" w:name="n53"/>
      <w:bookmarkEnd w:id="39"/>
      <w:bookmarkEnd w:id="40"/>
      <w:bookmarkEnd w:id="41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9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. Мінімальний строк роботи тренера (тренера-викладача) із спортсменом повинен становити не менше 2 років протягом останніх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2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рокі</w:t>
      </w:r>
      <w:proofErr w:type="gramStart"/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B312B4" w:rsidRPr="00792749" w:rsidRDefault="00F86761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42" w:name="n147"/>
      <w:bookmarkStart w:id="43" w:name="n54"/>
      <w:bookmarkEnd w:id="42"/>
      <w:bookmarkEnd w:id="43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10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. Тренери (тренери-викладачі) можуть утворювати бригади з окремого виду спорту.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44" w:name="n55"/>
      <w:bookmarkEnd w:id="44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Бригадна праця вважається колективною. Бригада утворюється наказом керівника закладу фізичної культури і спорту 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з чирлідингу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в кількості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не б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ільше </w:t>
      </w:r>
      <w:r w:rsidR="00F86761" w:rsidRPr="00792749">
        <w:rPr>
          <w:rFonts w:eastAsia="Times New Roman" w:cs="Times New Roman"/>
          <w:color w:val="000000"/>
          <w:sz w:val="28"/>
          <w:szCs w:val="28"/>
          <w:lang w:val="ru-RU"/>
        </w:rPr>
        <w:t>2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осіб. Цим наказом також затверджується список спортсменів, з якими працюють члени бригади.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45" w:name="n56"/>
      <w:bookmarkEnd w:id="45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Кваліфікаційна категорія може бути присвоєна кожному члену бригади за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ішенням колективу бригади. При цьому строк роботи тренера (тренера-викладача) у складі цієї бригади має становити не менше 2 років. Виписка з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ішення загальних зборів бригади підписується кожним її членом, засвідчується підписом керівника закладу фізичної культури і спорту </w:t>
      </w:r>
      <w:r w:rsidR="00B248EB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з чирлідингу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 подається до атестаційної комісії разом із копією наказу про утворення бригади.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46" w:name="n57"/>
      <w:bookmarkEnd w:id="46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Результативні показники певного спортсмена можуть бути враховані лише одному члену бригади.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47" w:name="n58"/>
      <w:bookmarkEnd w:id="47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12. </w:t>
      </w:r>
      <w:r w:rsidR="00B248EB" w:rsidRPr="00792749">
        <w:rPr>
          <w:rFonts w:eastAsia="Times New Roman" w:cs="Times New Roman"/>
          <w:color w:val="000000"/>
          <w:sz w:val="28"/>
          <w:szCs w:val="28"/>
          <w:lang w:val="ru-RU"/>
        </w:rPr>
        <w:t>К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валіфікаційні категорії присвоюються тренерам (тренерам-викладачам) за результативні показники спортсменів, передбачені в</w:t>
      </w:r>
      <w:r w:rsidR="00B248EB" w:rsidRPr="00792749">
        <w:rPr>
          <w:sz w:val="28"/>
          <w:szCs w:val="28"/>
        </w:rPr>
        <w:t xml:space="preserve"> </w:t>
      </w:r>
      <w:r w:rsidR="00B248EB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додатку 1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 до цього Порядку, що показані в номерах програми, за умови участі в них спортсменів не менше ніж з 10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країн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на міжнарод</w:t>
      </w:r>
      <w:r w:rsidR="00B248EB" w:rsidRPr="00792749">
        <w:rPr>
          <w:rFonts w:eastAsia="Times New Roman" w:cs="Times New Roman"/>
          <w:color w:val="000000"/>
          <w:sz w:val="28"/>
          <w:szCs w:val="28"/>
          <w:lang w:val="ru-RU"/>
        </w:rPr>
        <w:t>них спортивних змаганнях або 10 областей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на всеу</w:t>
      </w:r>
      <w:r w:rsidR="00B248EB" w:rsidRPr="00792749">
        <w:rPr>
          <w:rFonts w:eastAsia="Times New Roman" w:cs="Times New Roman"/>
          <w:color w:val="000000"/>
          <w:sz w:val="28"/>
          <w:szCs w:val="28"/>
          <w:lang w:val="ru-RU"/>
        </w:rPr>
        <w:t>країнських спортивних змаганнях (на перехідний період враховуються результати за умови участі 6 областей).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48" w:name="n59"/>
      <w:bookmarkEnd w:id="48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lastRenderedPageBreak/>
        <w:t xml:space="preserve">13. Тренерам (тренерам-викладачам), які здійснюють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ідготовку спортсменів одночасно з основним тренером (тренером-викладачем), кваліфікаційна категорія за результативні показники спортсменів присвоюється на категорію нижче, ніж у основного тренера (тренера-викладача).</w:t>
      </w:r>
    </w:p>
    <w:p w:rsidR="00B248EB" w:rsidRPr="00792749" w:rsidRDefault="00B248EB" w:rsidP="00792749">
      <w:pPr>
        <w:widowControl/>
        <w:shd w:val="clear" w:color="auto" w:fill="FFFFFF"/>
        <w:autoSpaceDE/>
        <w:autoSpaceDN/>
        <w:adjustRightInd/>
        <w:ind w:left="346" w:right="346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  <w:bookmarkStart w:id="49" w:name="n60"/>
      <w:bookmarkStart w:id="50" w:name="n61"/>
      <w:bookmarkEnd w:id="49"/>
      <w:bookmarkEnd w:id="50"/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left="346" w:right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ІV. Атестаційні комі</w:t>
      </w:r>
      <w:proofErr w:type="gramStart"/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End"/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ії </w:t>
      </w:r>
      <w:proofErr w:type="gramStart"/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та</w:t>
      </w:r>
      <w:proofErr w:type="gramEnd"/>
      <w:r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 порядок їх роботи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51" w:name="n62"/>
      <w:bookmarkEnd w:id="51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1. Атестацію здійснює постійно діюча атес</w:t>
      </w:r>
      <w:r w:rsidR="00B248EB" w:rsidRPr="00792749">
        <w:rPr>
          <w:rFonts w:eastAsia="Times New Roman" w:cs="Times New Roman"/>
          <w:color w:val="000000"/>
          <w:sz w:val="28"/>
          <w:szCs w:val="28"/>
          <w:lang w:val="ru-RU"/>
        </w:rPr>
        <w:t>таційна комі</w:t>
      </w:r>
      <w:proofErr w:type="gramStart"/>
      <w:r w:rsidR="00B248EB" w:rsidRPr="00792749">
        <w:rPr>
          <w:rFonts w:eastAsia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="00B248EB" w:rsidRPr="00792749">
        <w:rPr>
          <w:rFonts w:eastAsia="Times New Roman" w:cs="Times New Roman"/>
          <w:color w:val="000000"/>
          <w:sz w:val="28"/>
          <w:szCs w:val="28"/>
          <w:lang w:val="ru-RU"/>
        </w:rPr>
        <w:t>ія, що утворюється Президією ФЧЧУ.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52" w:name="n63"/>
      <w:bookmarkStart w:id="53" w:name="n65"/>
      <w:bookmarkEnd w:id="52"/>
      <w:bookmarkEnd w:id="53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2. Кількісний і персональний склад атестаційної комісії затверджується:</w:t>
      </w:r>
    </w:p>
    <w:p w:rsidR="00B312B4" w:rsidRPr="00792749" w:rsidRDefault="00B248EB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54" w:name="n66"/>
      <w:bookmarkEnd w:id="54"/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ішенням Президії ФЧЧУ та відповідним наказом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55" w:name="n67"/>
      <w:bookmarkStart w:id="56" w:name="n68"/>
      <w:bookmarkEnd w:id="55"/>
      <w:bookmarkEnd w:id="56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складу комісій входять фахівці сфери фізичної культури і спорту.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57" w:name="n69"/>
      <w:bookmarkEnd w:id="57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Атестаційну комісію </w:t>
      </w:r>
      <w:r w:rsidR="00B248EB" w:rsidRPr="00792749">
        <w:rPr>
          <w:rFonts w:eastAsia="Times New Roman" w:cs="Times New Roman"/>
          <w:color w:val="000000"/>
          <w:sz w:val="28"/>
          <w:szCs w:val="28"/>
          <w:lang w:val="ru-RU"/>
        </w:rPr>
        <w:t>ФЧЧУ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очолює </w:t>
      </w:r>
      <w:r w:rsidR="00B248EB" w:rsidRPr="00792749">
        <w:rPr>
          <w:rFonts w:eastAsia="Times New Roman" w:cs="Times New Roman"/>
          <w:color w:val="000000"/>
          <w:sz w:val="28"/>
          <w:szCs w:val="28"/>
          <w:lang w:val="ru-RU"/>
        </w:rPr>
        <w:t>президент ФЧЧУ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58" w:name="n70"/>
      <w:bookmarkStart w:id="59" w:name="n71"/>
      <w:bookmarkEnd w:id="58"/>
      <w:bookmarkEnd w:id="59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4. Основними завданнями атестаційної комісії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є:</w:t>
      </w:r>
      <w:proofErr w:type="gramEnd"/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60" w:name="n72"/>
      <w:bookmarkEnd w:id="60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розгляд документів, що надійшли на атестацію, та їх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перев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ірка;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61" w:name="n73"/>
      <w:bookmarkEnd w:id="61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проведення атестації протягом 30 робочих днів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 дня надходження документів;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62" w:name="n74"/>
      <w:bookmarkEnd w:id="62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прийняття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ішення та порушення клопотання перед керівництвом щодо присвоєння (або відмови у присвоєнні) кваліфікаційної категорії тренеру (тренеру-викладачу) закладу фізичної культури і спорту</w:t>
      </w:r>
      <w:r w:rsidR="00B248EB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з чирлідингу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63" w:name="n150"/>
      <w:bookmarkStart w:id="64" w:name="n151"/>
      <w:bookmarkEnd w:id="63"/>
      <w:bookmarkEnd w:id="64"/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ідставою для прийняття рішення щодо відмови у присвоєнні кваліфікаційної категорії тренеру (тренеру-викладачу) є:</w:t>
      </w:r>
    </w:p>
    <w:p w:rsidR="00B312B4" w:rsidRPr="00792749" w:rsidRDefault="00792749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65" w:name="n155"/>
      <w:bookmarkStart w:id="66" w:name="n152"/>
      <w:bookmarkEnd w:id="65"/>
      <w:bookmarkEnd w:id="66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невиконання вимог цього Порядку;</w:t>
      </w:r>
    </w:p>
    <w:p w:rsidR="00B312B4" w:rsidRPr="00792749" w:rsidRDefault="00792749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67" w:name="n156"/>
      <w:bookmarkStart w:id="68" w:name="n153"/>
      <w:bookmarkEnd w:id="67"/>
      <w:bookmarkEnd w:id="68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виявлення недостовірної інформації в документах, які подано для присвоєння кваліфікаційної категорії;</w:t>
      </w:r>
    </w:p>
    <w:p w:rsidR="00B312B4" w:rsidRPr="00792749" w:rsidRDefault="00792749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69" w:name="n157"/>
      <w:bookmarkStart w:id="70" w:name="n154"/>
      <w:bookmarkEnd w:id="69"/>
      <w:bookmarkEnd w:id="70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довічна спортивна дискваліфікація спортсмена, </w:t>
      </w:r>
      <w:proofErr w:type="gramStart"/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тому</w:t>
      </w:r>
      <w:proofErr w:type="gramEnd"/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числі за порушення антидопінгових правил.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71" w:name="n158"/>
      <w:bookmarkStart w:id="72" w:name="n75"/>
      <w:bookmarkEnd w:id="71"/>
      <w:bookmarkEnd w:id="72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5. Засідання атестаційної комісії вважається правоможним, якщо в її роботі бере участь не менше половини її члені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73" w:name="n76"/>
      <w:bookmarkEnd w:id="73"/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ішення атестаційних комісій приймається простою більшістю голосів присутніх членів шляхом відкритого голосування. У разі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івного розподілу голосів голос голови атестаційних комісій є ухвальним.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74" w:name="n77"/>
      <w:bookmarkEnd w:id="74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6. Атестаційна комі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я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Мінмолодьспорту розглядає на засіданні документи, подані для проходження атестації тренера, заслуховує інформацію керівника </w:t>
      </w:r>
      <w:r w:rsidR="00A8178A" w:rsidRPr="00792749">
        <w:rPr>
          <w:rFonts w:eastAsia="Times New Roman" w:cs="Times New Roman"/>
          <w:color w:val="000000"/>
          <w:sz w:val="28"/>
          <w:szCs w:val="28"/>
          <w:lang w:val="ru-RU"/>
        </w:rPr>
        <w:t>місцевого осередку ФЧЧУ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про роботу цього тренера, а також с</w:t>
      </w:r>
      <w:r w:rsidR="00A8178A" w:rsidRPr="00792749">
        <w:rPr>
          <w:rFonts w:eastAsia="Times New Roman" w:cs="Times New Roman"/>
          <w:color w:val="000000"/>
          <w:sz w:val="28"/>
          <w:szCs w:val="28"/>
          <w:lang w:val="ru-RU"/>
        </w:rPr>
        <w:t>амого тренера, який атестується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75" w:name="n78"/>
      <w:bookmarkStart w:id="76" w:name="n79"/>
      <w:bookmarkEnd w:id="75"/>
      <w:bookmarkEnd w:id="76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7. У разі відсутності тренера (тренера-викладача), який атестується, на засіданні атестаційної комісії без поважних причин вона має право провести атестацію без цього тренера (тренера-викладача) на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ідставі поданих документів.</w:t>
      </w:r>
    </w:p>
    <w:p w:rsidR="00B312B4" w:rsidRPr="00792749" w:rsidRDefault="00B312B4" w:rsidP="00792749">
      <w:pPr>
        <w:ind w:firstLine="346"/>
        <w:jc w:val="both"/>
        <w:rPr>
          <w:sz w:val="28"/>
          <w:szCs w:val="28"/>
        </w:rPr>
      </w:pPr>
      <w:bookmarkStart w:id="77" w:name="n80"/>
      <w:bookmarkEnd w:id="77"/>
      <w:r w:rsidRPr="00792749">
        <w:rPr>
          <w:sz w:val="28"/>
          <w:szCs w:val="28"/>
        </w:rPr>
        <w:t>8. Рішення атестаційної комісії для тренера оформляється </w:t>
      </w:r>
      <w:hyperlink r:id="rId7" w:anchor="n102" w:history="1">
        <w:r w:rsidRPr="00792749">
          <w:rPr>
            <w:rStyle w:val="a7"/>
            <w:color w:val="auto"/>
            <w:sz w:val="28"/>
            <w:szCs w:val="28"/>
            <w:u w:val="none"/>
          </w:rPr>
          <w:t xml:space="preserve">протоколом засідання атестаційної комісії </w:t>
        </w:r>
      </w:hyperlink>
      <w:r w:rsidRPr="00792749">
        <w:rPr>
          <w:sz w:val="28"/>
          <w:szCs w:val="28"/>
        </w:rPr>
        <w:t> за формою згідно з додатком 3 до цього Порядку, який підписується головою та секретарем атестаційної комісії.</w:t>
      </w:r>
    </w:p>
    <w:p w:rsidR="00A8178A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78" w:name="n81"/>
      <w:bookmarkStart w:id="79" w:name="n82"/>
      <w:bookmarkEnd w:id="78"/>
      <w:bookmarkEnd w:id="79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10. Результати атестації у 10-денний строк доводяться до відома тренера (тренера-викладача), який атестується, і заносяться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 </w:t>
      </w:r>
      <w:bookmarkStart w:id="80" w:name="n83"/>
      <w:bookmarkEnd w:id="80"/>
    </w:p>
    <w:p w:rsidR="00B312B4" w:rsidRPr="00792749" w:rsidRDefault="00A8178A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11. У 10-денний строк з дня отримання протоколів атестаційної комі</w:t>
      </w:r>
      <w:proofErr w:type="gramStart"/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ії: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81" w:name="n84"/>
      <w:bookmarkEnd w:id="81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керівник </w:t>
      </w:r>
      <w:r w:rsidR="00A8178A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ФЧЧУ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приймає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ішення про присвоєння (або відмови у присвоєнні) відповідних кваліфікаційних категорій тренерам-викладачам, про що видається відповідний наказ;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82" w:name="n159"/>
      <w:bookmarkStart w:id="83" w:name="n85"/>
      <w:bookmarkStart w:id="84" w:name="n86"/>
      <w:bookmarkEnd w:id="82"/>
      <w:bookmarkEnd w:id="83"/>
      <w:bookmarkEnd w:id="84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12. У разі позитивного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ішення щодо проходження атестації:</w:t>
      </w:r>
    </w:p>
    <w:p w:rsidR="00792749" w:rsidRPr="00792749" w:rsidRDefault="00792749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85" w:name="n87"/>
      <w:bookmarkEnd w:id="85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- тренери (тренери-викладачі) отримують право виставляти спортсмені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 на офіційні змагання ФЧЧУ; </w:t>
      </w:r>
    </w:p>
    <w:p w:rsidR="00B312B4" w:rsidRPr="00792749" w:rsidRDefault="00792749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тренерам </w:t>
      </w:r>
      <w:r w:rsidR="00A8178A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(тренерам - викладачам) 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в установленому порядку встановлюється </w:t>
      </w:r>
      <w:proofErr w:type="gramStart"/>
      <w:r w:rsidR="00A8178A" w:rsidRPr="00792749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="00A8178A" w:rsidRPr="00792749">
        <w:rPr>
          <w:rFonts w:eastAsia="Times New Roman" w:cs="Times New Roman"/>
          <w:color w:val="000000"/>
          <w:sz w:val="28"/>
          <w:szCs w:val="28"/>
          <w:lang w:val="ru-RU"/>
        </w:rPr>
        <w:t>івень фінансового заохочення за участь спортсменів у змаганнях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;</w:t>
      </w:r>
    </w:p>
    <w:p w:rsidR="00B312B4" w:rsidRPr="00792749" w:rsidRDefault="00792749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86" w:name="n88"/>
      <w:bookmarkEnd w:id="86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тренерам (тренерам-викладачам) присвоюється відповідна кваліфікаційна категорія </w:t>
      </w:r>
      <w:r w:rsidR="00A8178A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ФЧЧУ 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з </w:t>
      </w:r>
      <w:r w:rsidR="00A8178A" w:rsidRPr="00792749">
        <w:rPr>
          <w:rFonts w:eastAsia="Times New Roman" w:cs="Times New Roman"/>
          <w:color w:val="000000"/>
          <w:sz w:val="28"/>
          <w:szCs w:val="28"/>
          <w:lang w:val="ru-RU"/>
        </w:rPr>
        <w:t>чирлідингу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87" w:name="n89"/>
      <w:bookmarkEnd w:id="87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13. Тренеру (тренеру-викладачу) закладу фізичної культури і спорту, який пройшов атестацію, видається </w:t>
      </w:r>
      <w:hyperlink r:id="rId8" w:anchor="n118" w:history="1">
        <w:r w:rsidRPr="00792749">
          <w:rPr>
            <w:rStyle w:val="a7"/>
            <w:color w:val="auto"/>
            <w:sz w:val="28"/>
            <w:szCs w:val="28"/>
            <w:u w:val="none"/>
          </w:rPr>
          <w:t>довідка про атестацію тренера (тренера-викладача)</w:t>
        </w:r>
      </w:hyperlink>
      <w:r w:rsidRPr="00792749">
        <w:rPr>
          <w:sz w:val="28"/>
          <w:szCs w:val="28"/>
        </w:rPr>
        <w:t> </w:t>
      </w:r>
      <w:r w:rsidR="00A8178A"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та відповідна відмітка в атестаційній книжці тренера 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за формою згідно з додатком до цього Порядку, яка дійсна на території </w:t>
      </w:r>
      <w:proofErr w:type="gramStart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вс</w:t>
      </w:r>
      <w:proofErr w:type="gramEnd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ієї України.</w:t>
      </w:r>
    </w:p>
    <w:p w:rsidR="00B312B4" w:rsidRPr="00792749" w:rsidRDefault="00B312B4" w:rsidP="00792749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88" w:name="n90"/>
      <w:bookmarkEnd w:id="88"/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 xml:space="preserve">14. Результати атестації тренера штатної команди національних збірних команд України, тренера (тренера-викладача) можуть бути оскаржені до </w:t>
      </w:r>
      <w:r w:rsidR="00A8178A" w:rsidRPr="00792749">
        <w:rPr>
          <w:rFonts w:eastAsia="Times New Roman" w:cs="Times New Roman"/>
          <w:color w:val="000000"/>
          <w:sz w:val="28"/>
          <w:szCs w:val="28"/>
          <w:lang w:val="ru-RU"/>
        </w:rPr>
        <w:t>Президії ФЧЧУ та суду</w:t>
      </w:r>
      <w:r w:rsidRPr="00792749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B312B4" w:rsidRPr="00792749" w:rsidRDefault="00B312B4" w:rsidP="00792749">
      <w:pPr>
        <w:widowControl/>
        <w:autoSpaceDE/>
        <w:autoSpaceDN/>
        <w:adjustRightInd/>
        <w:spacing w:before="46" w:after="46"/>
        <w:jc w:val="both"/>
        <w:rPr>
          <w:rFonts w:eastAsia="Times New Roman" w:cs="Times New Roman"/>
          <w:sz w:val="28"/>
          <w:szCs w:val="28"/>
          <w:lang w:val="ru-RU"/>
        </w:rPr>
      </w:pPr>
      <w:bookmarkStart w:id="89" w:name="n91"/>
      <w:bookmarkStart w:id="90" w:name="n122"/>
      <w:bookmarkEnd w:id="89"/>
      <w:bookmarkEnd w:id="90"/>
      <w:r w:rsidRPr="00792749">
        <w:rPr>
          <w:rFonts w:eastAsia="Times New Roman" w:cs="Times New Roman"/>
          <w:sz w:val="28"/>
          <w:szCs w:val="28"/>
          <w:lang w:val="ru-RU"/>
        </w:rPr>
        <w:pict>
          <v:rect id="_x0000_i1025" style="width:0;height:0" o:hralign="center" o:hrstd="t" o:hrnoshade="t" o:hr="t" fillcolor="black" stroked="f"/>
        </w:pict>
      </w:r>
    </w:p>
    <w:p w:rsidR="00B312B4" w:rsidRPr="00792749" w:rsidRDefault="000818A1" w:rsidP="00792749">
      <w:pPr>
        <w:widowControl/>
        <w:shd w:val="clear" w:color="auto" w:fill="FFFFFF"/>
        <w:autoSpaceDE/>
        <w:autoSpaceDN/>
        <w:adjustRightInd/>
        <w:ind w:left="346" w:right="346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91" w:name="n121"/>
      <w:bookmarkStart w:id="92" w:name="n92"/>
      <w:bookmarkStart w:id="93" w:name="n93"/>
      <w:bookmarkEnd w:id="91"/>
      <w:bookmarkEnd w:id="92"/>
      <w:bookmarkEnd w:id="93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Результативні показники участі у змаганнях</w:t>
      </w:r>
      <w:r w:rsidR="00B312B4" w:rsidRPr="00792749">
        <w:rPr>
          <w:rFonts w:eastAsia="Times New Roman" w:cs="Times New Roman"/>
          <w:color w:val="000000"/>
          <w:sz w:val="28"/>
          <w:szCs w:val="28"/>
          <w:lang w:val="ru-RU"/>
        </w:rPr>
        <w:br/>
      </w:r>
      <w:r w:rsidR="00B312B4"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роботи тренері</w:t>
      </w:r>
      <w:proofErr w:type="gramStart"/>
      <w:r w:rsidR="00B312B4"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  <w:r w:rsidR="00B312B4" w:rsidRPr="00792749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 (тренерів-викладачів), які враховуються при присвоєнні кваліфікаційних категорій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"/>
        <w:gridCol w:w="4999"/>
        <w:gridCol w:w="1473"/>
        <w:gridCol w:w="804"/>
        <w:gridCol w:w="923"/>
        <w:gridCol w:w="817"/>
      </w:tblGrid>
      <w:tr w:rsidR="00B312B4" w:rsidRPr="00792749" w:rsidTr="00A8178A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bookmarkStart w:id="94" w:name="n161"/>
            <w:bookmarkEnd w:id="94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№ з/</w:t>
            </w:r>
            <w:proofErr w:type="gramStart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Змагання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Мінімальна кількість спортсмені</w:t>
            </w:r>
            <w:proofErr w:type="gramStart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Кваліфікаційна категорія за місце, яке </w:t>
            </w:r>
            <w:proofErr w:type="gramStart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пос</w:t>
            </w:r>
            <w:proofErr w:type="gramEnd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ів спортсмен</w:t>
            </w:r>
          </w:p>
        </w:tc>
      </w:tr>
      <w:tr w:rsidR="00B312B4" w:rsidRPr="00792749" w:rsidTr="00A817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вища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перша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друга</w:t>
            </w:r>
          </w:p>
        </w:tc>
      </w:tr>
      <w:tr w:rsidR="00B312B4" w:rsidRPr="00792749" w:rsidTr="000818A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B312B4" w:rsidRPr="00792749" w:rsidTr="00A8178A"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І. Міжнародні спортивні змагання</w:t>
            </w:r>
          </w:p>
        </w:tc>
      </w:tr>
      <w:tr w:rsidR="00B312B4" w:rsidRPr="00792749" w:rsidTr="00A8178A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792749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Всесвітні ігри з </w:t>
            </w:r>
            <w:proofErr w:type="gramStart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неол</w:t>
            </w:r>
            <w:proofErr w:type="gramEnd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імпійських видів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1-6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7-8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участь</w:t>
            </w:r>
          </w:p>
        </w:tc>
      </w:tr>
      <w:tr w:rsidR="00B312B4" w:rsidRPr="00792749" w:rsidTr="00A817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7-10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>-</w:t>
            </w:r>
          </w:p>
        </w:tc>
      </w:tr>
      <w:tr w:rsidR="00B312B4" w:rsidRPr="00792749" w:rsidTr="00A8178A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792749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A8178A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Ч</w:t>
            </w:r>
            <w:r w:rsidR="00B312B4"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емпіонат </w:t>
            </w:r>
            <w:proofErr w:type="gramStart"/>
            <w:r w:rsidR="00B312B4"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св</w:t>
            </w:r>
            <w:proofErr w:type="gramEnd"/>
            <w:r w:rsidR="00B312B4"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іту з </w:t>
            </w: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чирлідингу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1-3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участь</w:t>
            </w:r>
          </w:p>
        </w:tc>
      </w:tr>
      <w:tr w:rsidR="00B312B4" w:rsidRPr="00792749" w:rsidTr="00A817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7-8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</w:tr>
      <w:tr w:rsidR="00B312B4" w:rsidRPr="00792749" w:rsidTr="00A8178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792749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Чемпіонат </w:t>
            </w:r>
            <w:proofErr w:type="gramStart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св</w:t>
            </w:r>
            <w:proofErr w:type="gramEnd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іту серед молоді, юніорів з </w:t>
            </w:r>
            <w:r w:rsidR="00A8178A"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чирлідингу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1-3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7-8</w:t>
            </w:r>
          </w:p>
        </w:tc>
      </w:tr>
      <w:tr w:rsidR="00B312B4" w:rsidRPr="00792749" w:rsidTr="00A8178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792749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Кубок </w:t>
            </w:r>
            <w:proofErr w:type="gramStart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св</w:t>
            </w:r>
            <w:proofErr w:type="gramEnd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іту з </w:t>
            </w:r>
            <w:r w:rsidR="00A8178A"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чирлідингу</w:t>
            </w: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(загальний залік)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1-3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4-8</w:t>
            </w:r>
          </w:p>
        </w:tc>
      </w:tr>
      <w:tr w:rsidR="00B312B4" w:rsidRPr="00792749" w:rsidTr="00A8178A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792749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Чемпіонат Європи, Всесвітні універсіади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1-3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</w:tr>
      <w:tr w:rsidR="00B312B4" w:rsidRPr="00792749" w:rsidTr="00A817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7-8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участь</w:t>
            </w:r>
          </w:p>
        </w:tc>
      </w:tr>
      <w:tr w:rsidR="00B312B4" w:rsidRPr="00792749" w:rsidTr="00A8178A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792749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Чемпіонат Європи серед молоді, юніорі</w:t>
            </w:r>
            <w:proofErr w:type="gramStart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2-3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</w:tr>
      <w:tr w:rsidR="00B312B4" w:rsidRPr="00792749" w:rsidTr="00A817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2-3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7-8</w:t>
            </w:r>
          </w:p>
        </w:tc>
      </w:tr>
      <w:tr w:rsidR="00B312B4" w:rsidRPr="00792749" w:rsidTr="00A8178A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792749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Чемпіонат Європи серед кадеті</w:t>
            </w:r>
            <w:proofErr w:type="gramStart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, юнаків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1-3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</w:tr>
      <w:tr w:rsidR="00B312B4" w:rsidRPr="00792749" w:rsidTr="00A817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7-8</w:t>
            </w:r>
          </w:p>
        </w:tc>
      </w:tr>
      <w:tr w:rsidR="00B312B4" w:rsidRPr="00792749" w:rsidTr="00A8178A"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0818A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ІІ. Всеукраїнські спортивні змагання</w:t>
            </w:r>
          </w:p>
        </w:tc>
      </w:tr>
      <w:tr w:rsidR="00B312B4" w:rsidRPr="00792749" w:rsidTr="00A8178A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Чемпіонат України серед дорослих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1-2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3-4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5-8</w:t>
            </w:r>
          </w:p>
        </w:tc>
      </w:tr>
      <w:tr w:rsidR="00B312B4" w:rsidRPr="00792749" w:rsidTr="00A8178A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Чемпіонат України серед дорослих з </w:t>
            </w:r>
            <w:proofErr w:type="gramStart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неол</w:t>
            </w:r>
            <w:proofErr w:type="gramEnd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імпійських видів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2-3</w:t>
            </w:r>
          </w:p>
        </w:tc>
      </w:tr>
      <w:tr w:rsidR="00B312B4" w:rsidRPr="00792749" w:rsidTr="00A817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2-3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</w:tr>
      <w:tr w:rsidR="00792749" w:rsidRPr="00792749" w:rsidTr="00792749">
        <w:trPr>
          <w:trHeight w:val="387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49" w:rsidRPr="00792749" w:rsidRDefault="00792749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49" w:rsidRPr="00792749" w:rsidRDefault="00792749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Кубок України серед дорослих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2749" w:rsidRPr="000818A1" w:rsidRDefault="00792749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2749" w:rsidRPr="000818A1" w:rsidRDefault="00792749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2749" w:rsidRPr="000818A1" w:rsidRDefault="00792749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2749" w:rsidRPr="000818A1" w:rsidRDefault="00792749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2-3</w:t>
            </w:r>
          </w:p>
        </w:tc>
      </w:tr>
      <w:tr w:rsidR="00B312B4" w:rsidRPr="00792749" w:rsidTr="00A8178A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792749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Чемпіонат України серед молоді та юніорів з </w:t>
            </w:r>
            <w:proofErr w:type="gramStart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неол</w:t>
            </w:r>
            <w:proofErr w:type="gramEnd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імпійських видів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2-3</w:t>
            </w:r>
          </w:p>
        </w:tc>
      </w:tr>
      <w:tr w:rsidR="00B312B4" w:rsidRPr="00792749" w:rsidTr="00A817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2-3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</w:tr>
      <w:tr w:rsidR="00B312B4" w:rsidRPr="00792749" w:rsidTr="00A8178A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792749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792749" w:rsidRDefault="00B312B4" w:rsidP="00792749">
            <w:pPr>
              <w:widowControl/>
              <w:autoSpaceDE/>
              <w:autoSpaceDN/>
              <w:adjustRightInd/>
              <w:spacing w:before="115" w:after="115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Чемпіонат України серед кадеті</w:t>
            </w:r>
            <w:proofErr w:type="gramStart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792749">
              <w:rPr>
                <w:rFonts w:eastAsia="Times New Roman" w:cs="Times New Roman"/>
                <w:sz w:val="28"/>
                <w:szCs w:val="28"/>
                <w:lang w:val="ru-RU"/>
              </w:rPr>
              <w:t>, юнаків (крім молодших вікових груп)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2-3</w:t>
            </w:r>
          </w:p>
        </w:tc>
      </w:tr>
      <w:tr w:rsidR="00B312B4" w:rsidRPr="00792749" w:rsidTr="00A817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B4" w:rsidRPr="00792749" w:rsidRDefault="00B312B4" w:rsidP="00792749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2-3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A44" w:rsidRPr="000818A1" w:rsidRDefault="00B312B4" w:rsidP="000818A1">
            <w:pPr>
              <w:widowControl/>
              <w:autoSpaceDE/>
              <w:autoSpaceDN/>
              <w:adjustRightInd/>
              <w:spacing w:before="115" w:after="115"/>
              <w:jc w:val="center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0818A1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>4-6</w:t>
            </w:r>
          </w:p>
        </w:tc>
      </w:tr>
    </w:tbl>
    <w:p w:rsidR="00B312B4" w:rsidRDefault="00B312B4" w:rsidP="0079274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95" w:name="n162"/>
      <w:bookmarkEnd w:id="95"/>
    </w:p>
    <w:p w:rsidR="00792749" w:rsidRDefault="000818A1" w:rsidP="00D3797C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 w:rsidRPr="00D3797C">
        <w:rPr>
          <w:rFonts w:eastAsia="Times New Roman" w:cs="Times New Roman"/>
          <w:b/>
          <w:color w:val="000000"/>
          <w:sz w:val="28"/>
          <w:szCs w:val="28"/>
          <w:lang w:val="ru-RU"/>
        </w:rPr>
        <w:t>Результативні показники атестації спортсмені</w:t>
      </w:r>
      <w:proofErr w:type="gramStart"/>
      <w:r w:rsidRPr="00D3797C">
        <w:rPr>
          <w:rFonts w:eastAsia="Times New Roman" w:cs="Times New Roman"/>
          <w:b/>
          <w:color w:val="000000"/>
          <w:sz w:val="28"/>
          <w:szCs w:val="28"/>
          <w:lang w:val="ru-RU"/>
        </w:rPr>
        <w:t>в</w:t>
      </w:r>
      <w:proofErr w:type="gramEnd"/>
    </w:p>
    <w:p w:rsidR="00D3797C" w:rsidRPr="00D3797C" w:rsidRDefault="00D3797C" w:rsidP="00D3797C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D3797C">
        <w:rPr>
          <w:rFonts w:eastAsia="Times New Roman" w:cs="Times New Roman"/>
          <w:color w:val="000000"/>
          <w:sz w:val="28"/>
          <w:szCs w:val="28"/>
          <w:lang w:val="ru-RU"/>
        </w:rPr>
        <w:t xml:space="preserve">Мають бути розроблені </w:t>
      </w:r>
      <w:proofErr w:type="gramStart"/>
      <w:r w:rsidRPr="00D3797C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D3797C">
        <w:rPr>
          <w:rFonts w:eastAsia="Times New Roman" w:cs="Times New Roman"/>
          <w:color w:val="000000"/>
          <w:sz w:val="28"/>
          <w:szCs w:val="28"/>
          <w:lang w:val="ru-RU"/>
        </w:rPr>
        <w:t>ісля створення положення про атестацію спортсменів</w:t>
      </w:r>
    </w:p>
    <w:p w:rsidR="00792749" w:rsidRDefault="00792749" w:rsidP="0079274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792749" w:rsidRPr="00D3797C" w:rsidRDefault="000818A1" w:rsidP="00D3797C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 w:rsidRPr="00D3797C">
        <w:rPr>
          <w:rFonts w:eastAsia="Times New Roman" w:cs="Times New Roman"/>
          <w:b/>
          <w:color w:val="000000"/>
          <w:sz w:val="28"/>
          <w:szCs w:val="28"/>
          <w:lang w:val="ru-RU"/>
        </w:rPr>
        <w:t>Розмі</w:t>
      </w:r>
      <w:proofErr w:type="gramStart"/>
      <w:r w:rsidRPr="00D3797C">
        <w:rPr>
          <w:rFonts w:eastAsia="Times New Roman" w:cs="Times New Roman"/>
          <w:b/>
          <w:color w:val="000000"/>
          <w:sz w:val="28"/>
          <w:szCs w:val="28"/>
          <w:lang w:val="ru-RU"/>
        </w:rPr>
        <w:t>ри ф</w:t>
      </w:r>
      <w:proofErr w:type="gramEnd"/>
      <w:r w:rsidRPr="00D3797C">
        <w:rPr>
          <w:rFonts w:eastAsia="Times New Roman" w:cs="Times New Roman"/>
          <w:b/>
          <w:color w:val="000000"/>
          <w:sz w:val="28"/>
          <w:szCs w:val="28"/>
          <w:lang w:val="ru-RU"/>
        </w:rPr>
        <w:t>інансової винагороди тренерів за участь спортсменів у змаганнях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818A1" w:rsidTr="000818A1">
        <w:tc>
          <w:tcPr>
            <w:tcW w:w="4785" w:type="dxa"/>
            <w:vAlign w:val="center"/>
          </w:tcPr>
          <w:p w:rsidR="000818A1" w:rsidRDefault="000818A1" w:rsidP="000818A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Тренерська категорія</w:t>
            </w:r>
          </w:p>
        </w:tc>
        <w:tc>
          <w:tcPr>
            <w:tcW w:w="4786" w:type="dxa"/>
            <w:vAlign w:val="center"/>
          </w:tcPr>
          <w:p w:rsidR="000818A1" w:rsidRDefault="000818A1" w:rsidP="000818A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Розмі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фінансової винагороди (у відсотках від загальної суми стартових внесків, %)</w:t>
            </w:r>
          </w:p>
        </w:tc>
      </w:tr>
      <w:tr w:rsidR="000818A1" w:rsidTr="00D3797C">
        <w:tc>
          <w:tcPr>
            <w:tcW w:w="4785" w:type="dxa"/>
          </w:tcPr>
          <w:p w:rsidR="000818A1" w:rsidRDefault="00D3797C" w:rsidP="00792749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ассистент тренера</w:t>
            </w:r>
          </w:p>
        </w:tc>
        <w:tc>
          <w:tcPr>
            <w:tcW w:w="4786" w:type="dxa"/>
            <w:vAlign w:val="center"/>
          </w:tcPr>
          <w:p w:rsidR="000818A1" w:rsidRDefault="00D3797C" w:rsidP="00D3797C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0818A1" w:rsidTr="00D3797C">
        <w:tc>
          <w:tcPr>
            <w:tcW w:w="4785" w:type="dxa"/>
          </w:tcPr>
          <w:p w:rsidR="000818A1" w:rsidRDefault="00D3797C" w:rsidP="00792749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друга категорія</w:t>
            </w:r>
          </w:p>
        </w:tc>
        <w:tc>
          <w:tcPr>
            <w:tcW w:w="4786" w:type="dxa"/>
            <w:vAlign w:val="center"/>
          </w:tcPr>
          <w:p w:rsidR="000818A1" w:rsidRDefault="00D3797C" w:rsidP="00D3797C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818A1" w:rsidTr="00D3797C">
        <w:tc>
          <w:tcPr>
            <w:tcW w:w="4785" w:type="dxa"/>
          </w:tcPr>
          <w:p w:rsidR="000818A1" w:rsidRDefault="00D3797C" w:rsidP="00792749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перша категорія</w:t>
            </w:r>
          </w:p>
        </w:tc>
        <w:tc>
          <w:tcPr>
            <w:tcW w:w="4786" w:type="dxa"/>
            <w:vAlign w:val="center"/>
          </w:tcPr>
          <w:p w:rsidR="000818A1" w:rsidRDefault="00D3797C" w:rsidP="00D3797C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0818A1" w:rsidTr="00D3797C">
        <w:tc>
          <w:tcPr>
            <w:tcW w:w="4785" w:type="dxa"/>
          </w:tcPr>
          <w:p w:rsidR="000818A1" w:rsidRDefault="00D3797C" w:rsidP="00792749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 w:rsidRPr="00792749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вища категорія</w:t>
            </w:r>
          </w:p>
        </w:tc>
        <w:tc>
          <w:tcPr>
            <w:tcW w:w="4786" w:type="dxa"/>
            <w:vAlign w:val="center"/>
          </w:tcPr>
          <w:p w:rsidR="000818A1" w:rsidRDefault="00D3797C" w:rsidP="00D3797C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:rsidR="000818A1" w:rsidRPr="00792749" w:rsidRDefault="000818A1" w:rsidP="0079274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</w:p>
    <w:sectPr w:rsidR="000818A1" w:rsidRPr="00792749" w:rsidSect="0089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312B4"/>
    <w:rsid w:val="000818A1"/>
    <w:rsid w:val="00085D97"/>
    <w:rsid w:val="0015747F"/>
    <w:rsid w:val="001A3A44"/>
    <w:rsid w:val="00304EFC"/>
    <w:rsid w:val="00491A0D"/>
    <w:rsid w:val="00507884"/>
    <w:rsid w:val="00561CAE"/>
    <w:rsid w:val="005A41D7"/>
    <w:rsid w:val="00745529"/>
    <w:rsid w:val="00792749"/>
    <w:rsid w:val="00817B77"/>
    <w:rsid w:val="00880CB5"/>
    <w:rsid w:val="00897B9D"/>
    <w:rsid w:val="00A63A16"/>
    <w:rsid w:val="00A8178A"/>
    <w:rsid w:val="00B248EB"/>
    <w:rsid w:val="00B312B4"/>
    <w:rsid w:val="00D3797C"/>
    <w:rsid w:val="00E5170D"/>
    <w:rsid w:val="00F8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8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0CB5"/>
    <w:pPr>
      <w:keepNext/>
      <w:widowControl/>
      <w:autoSpaceDE/>
      <w:autoSpaceDN/>
      <w:adjustRightInd/>
      <w:ind w:left="-284" w:right="-994" w:firstLine="426"/>
      <w:jc w:val="both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qFormat/>
    <w:rsid w:val="00880CB5"/>
    <w:pPr>
      <w:keepNext/>
      <w:widowControl/>
      <w:autoSpaceDE/>
      <w:autoSpaceDN/>
      <w:adjustRightInd/>
      <w:ind w:left="-284" w:right="-994" w:firstLine="426"/>
      <w:jc w:val="both"/>
      <w:outlineLvl w:val="2"/>
    </w:pPr>
    <w:rPr>
      <w:rFonts w:eastAsia="Times New Roman" w:cs="Times New Roman"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880C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CB5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880CB5"/>
    <w:pPr>
      <w:widowControl/>
      <w:autoSpaceDE/>
      <w:autoSpaceDN/>
      <w:adjustRightInd/>
      <w:ind w:left="-426" w:right="-908" w:firstLine="426"/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880C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Strong"/>
    <w:basedOn w:val="a0"/>
    <w:uiPriority w:val="22"/>
    <w:qFormat/>
    <w:rsid w:val="00880CB5"/>
    <w:rPr>
      <w:b/>
      <w:bCs/>
    </w:rPr>
  </w:style>
  <w:style w:type="paragraph" w:styleId="a6">
    <w:name w:val="List Paragraph"/>
    <w:basedOn w:val="a"/>
    <w:uiPriority w:val="34"/>
    <w:qFormat/>
    <w:rsid w:val="00880C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styleId="a7">
    <w:name w:val="Hyperlink"/>
    <w:basedOn w:val="a0"/>
    <w:uiPriority w:val="99"/>
    <w:unhideWhenUsed/>
    <w:rsid w:val="0074552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81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180-14/paran1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z0180-14/paran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0180-14" TargetMode="External"/><Relationship Id="rId5" Type="http://schemas.openxmlformats.org/officeDocument/2006/relationships/hyperlink" Target="http://zakon3.rada.gov.ua/laws/show/z0180-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akon3.rada.gov.ua/laws/show/2297-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2017-09-02T03:44:00Z</dcterms:created>
  <dcterms:modified xsi:type="dcterms:W3CDTF">2017-09-02T05:07:00Z</dcterms:modified>
</cp:coreProperties>
</file>